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79" w:rsidRDefault="00167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/>
          <w:b/>
          <w:color w:val="00000A"/>
          <w:sz w:val="24"/>
        </w:rPr>
      </w:pPr>
      <w:r w:rsidRPr="00167345">
        <w:rPr>
          <w:rFonts w:ascii="Arial" w:hAnsi="Arial"/>
          <w:b/>
          <w:noProof/>
          <w:color w:val="00000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1142365</wp:posOffset>
                </wp:positionH>
                <wp:positionV relativeFrom="paragraph">
                  <wp:posOffset>-519430</wp:posOffset>
                </wp:positionV>
                <wp:extent cx="4737100" cy="3810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45" w:rsidRDefault="00167345" w:rsidP="00167345">
                            <w:pPr>
                              <w:pStyle w:val="Cabealho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67345">
                              <w:rPr>
                                <w:rFonts w:ascii="Arial" w:hAnsi="Arial" w:cs="Arial"/>
                                <w:sz w:val="16"/>
                              </w:rPr>
                              <w:t xml:space="preserve">Documento cujo conteúdo foi aprovado pelo </w:t>
                            </w:r>
                          </w:p>
                          <w:p w:rsidR="00167345" w:rsidRPr="00167345" w:rsidRDefault="00167345" w:rsidP="00167345">
                            <w:pPr>
                              <w:pStyle w:val="Cabealho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67345">
                              <w:rPr>
                                <w:rFonts w:ascii="Arial" w:hAnsi="Arial" w:cs="Arial"/>
                                <w:sz w:val="16"/>
                              </w:rPr>
                              <w:t>Conselho Nacional De Saúde em 05/08/2015</w:t>
                            </w:r>
                          </w:p>
                          <w:p w:rsidR="00167345" w:rsidRDefault="00167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9.95pt;margin-top:-40.9pt;width:37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" filled="f" stroked="f">
                <v:textbox>
                  <w:txbxContent>
                    <w:p w:rsidR="00167345" w:rsidRDefault="00167345" w:rsidP="00167345">
                      <w:pPr>
                        <w:pStyle w:val="Cabealho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67345">
                        <w:rPr>
                          <w:rFonts w:ascii="Arial" w:hAnsi="Arial" w:cs="Arial"/>
                          <w:sz w:val="16"/>
                        </w:rPr>
                        <w:t xml:space="preserve">Documento cujo conteúdo foi aprovado pelo </w:t>
                      </w:r>
                    </w:p>
                    <w:p w:rsidR="00167345" w:rsidRPr="00167345" w:rsidRDefault="00167345" w:rsidP="00167345">
                      <w:pPr>
                        <w:pStyle w:val="Cabealho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67345">
                        <w:rPr>
                          <w:rFonts w:ascii="Arial" w:hAnsi="Arial" w:cs="Arial"/>
                          <w:sz w:val="16"/>
                        </w:rPr>
                        <w:t>Conselho Nacional De Saúde em 05/08/2015</w:t>
                      </w:r>
                    </w:p>
                    <w:p w:rsidR="00167345" w:rsidRDefault="00167345"/>
                  </w:txbxContent>
                </v:textbox>
              </v:shape>
            </w:pict>
          </mc:Fallback>
        </mc:AlternateContent>
      </w:r>
      <w:r w:rsidR="003B2C79">
        <w:rPr>
          <w:noProof/>
          <w:lang w:eastAsia="pt-BR"/>
        </w:rPr>
        <w:drawing>
          <wp:inline distT="0" distB="0" distL="0" distR="0" wp14:anchorId="4A1F77F3" wp14:editId="344979CC">
            <wp:extent cx="2539826" cy="971550"/>
            <wp:effectExtent l="0" t="0" r="0" b="0"/>
            <wp:docPr id="2" name="Imagem 2" descr="D:\Users\rosa.amelia\AppData\Local\Microsoft\Windows\Temporary Internet Files\Content.Outlook\H8BF5CQU\cns_logonov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sa.amelia\AppData\Local\Microsoft\Windows\Temporary Internet Files\Content.Outlook\H8BF5CQU\cns_logonovo_h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05" cy="9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79" w:rsidRPr="003B2C79" w:rsidRDefault="003B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/>
          <w:b/>
          <w:color w:val="00000A"/>
          <w:sz w:val="26"/>
          <w:szCs w:val="26"/>
        </w:rPr>
      </w:pPr>
    </w:p>
    <w:p w:rsidR="00764075" w:rsidRPr="003B2C79" w:rsidRDefault="00F83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sz w:val="26"/>
          <w:szCs w:val="26"/>
        </w:rPr>
      </w:pPr>
      <w:r w:rsidRPr="003B2C79">
        <w:rPr>
          <w:rFonts w:ascii="Arial" w:hAnsi="Arial"/>
          <w:b/>
          <w:smallCaps/>
          <w:color w:val="00000A"/>
          <w:sz w:val="26"/>
          <w:szCs w:val="26"/>
        </w:rPr>
        <w:t>O Conselho Nacional de Saúde e a</w:t>
      </w:r>
      <w:r w:rsidRPr="003B2C79">
        <w:rPr>
          <w:rFonts w:ascii="Arial" w:hAnsi="Arial"/>
          <w:b/>
          <w:color w:val="00000A"/>
          <w:sz w:val="26"/>
          <w:szCs w:val="26"/>
        </w:rPr>
        <w:t xml:space="preserve"> PEC241/2016</w:t>
      </w:r>
    </w:p>
    <w:p w:rsidR="00764075" w:rsidRPr="003B2C79" w:rsidRDefault="00764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/>
          <w:b/>
          <w:color w:val="00000A"/>
          <w:sz w:val="26"/>
          <w:szCs w:val="26"/>
        </w:rPr>
      </w:pPr>
    </w:p>
    <w:p w:rsidR="00764075" w:rsidRPr="003B2C79" w:rsidRDefault="003B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/>
          <w:b/>
          <w:color w:val="00000A"/>
          <w:sz w:val="26"/>
          <w:szCs w:val="26"/>
        </w:rPr>
      </w:pPr>
      <w:r w:rsidRPr="003B2C79">
        <w:rPr>
          <w:rFonts w:ascii="Arial" w:hAnsi="Arial"/>
          <w:b/>
          <w:smallCaps/>
          <w:color w:val="00000A"/>
          <w:sz w:val="26"/>
          <w:szCs w:val="26"/>
        </w:rPr>
        <w:t xml:space="preserve">Por uma Solução das Contas Públicas que respeite os Direitos Sociais - </w:t>
      </w:r>
      <w:r w:rsidR="00BB2A50" w:rsidRPr="003B2C79">
        <w:rPr>
          <w:rFonts w:ascii="Arial" w:hAnsi="Arial"/>
          <w:b/>
          <w:smallCaps/>
          <w:color w:val="00000A"/>
          <w:sz w:val="26"/>
          <w:szCs w:val="26"/>
        </w:rPr>
        <w:t>NÃO À</w:t>
      </w:r>
      <w:r w:rsidR="00BB2A50" w:rsidRPr="003B2C79">
        <w:rPr>
          <w:rFonts w:ascii="Arial" w:hAnsi="Arial"/>
          <w:b/>
          <w:color w:val="00000A"/>
          <w:sz w:val="26"/>
          <w:szCs w:val="26"/>
        </w:rPr>
        <w:t xml:space="preserve"> PEC 241</w:t>
      </w:r>
    </w:p>
    <w:p w:rsidR="003B2C79" w:rsidRPr="003B2C79" w:rsidRDefault="003B2C79" w:rsidP="003B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szCs w:val="22"/>
        </w:rPr>
      </w:pPr>
    </w:p>
    <w:p w:rsidR="00764075" w:rsidRPr="003B2C79" w:rsidRDefault="00F83054" w:rsidP="003B2C79">
      <w:pPr>
        <w:pStyle w:val="PargrafodaLista"/>
        <w:numPr>
          <w:ilvl w:val="0"/>
          <w:numId w:val="1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/>
          <w:b/>
          <w:smallCaps/>
          <w:color w:val="00000A"/>
          <w:szCs w:val="22"/>
        </w:rPr>
      </w:pPr>
      <w:r w:rsidRPr="003B2C79">
        <w:rPr>
          <w:rFonts w:ascii="Arial" w:hAnsi="Arial"/>
          <w:b/>
          <w:smallCaps/>
          <w:color w:val="00000A"/>
          <w:szCs w:val="22"/>
        </w:rPr>
        <w:t>Antecedentes da luta contra a PEC 241/2016</w:t>
      </w:r>
    </w:p>
    <w:p w:rsidR="00764075" w:rsidRPr="003B2C79" w:rsidRDefault="00F83054" w:rsidP="003B2C79">
      <w:pPr>
        <w:tabs>
          <w:tab w:val="left" w:pos="8496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 xml:space="preserve">O </w:t>
      </w:r>
      <w:proofErr w:type="spellStart"/>
      <w:r w:rsidRPr="003B2C79">
        <w:rPr>
          <w:rFonts w:ascii="Arial" w:hAnsi="Arial"/>
          <w:color w:val="00000A"/>
          <w:szCs w:val="22"/>
        </w:rPr>
        <w:t>subfinanciamento</w:t>
      </w:r>
      <w:proofErr w:type="spellEnd"/>
      <w:r w:rsidRPr="003B2C79">
        <w:rPr>
          <w:rFonts w:ascii="Arial" w:hAnsi="Arial"/>
          <w:color w:val="00000A"/>
          <w:szCs w:val="22"/>
        </w:rPr>
        <w:t xml:space="preserve"> do Sistema único de Saúde (SUS) é um dos principais fatores que impedem o cumprimento do princípio que “a saúde é direito de todos e dever do Estado”, estabelecido na Constituição Federal. Além de comprometer a oferta de serviços de qual</w:t>
      </w:r>
      <w:r w:rsidRPr="003B2C79">
        <w:rPr>
          <w:rFonts w:ascii="Arial" w:hAnsi="Arial"/>
          <w:color w:val="00000A"/>
          <w:szCs w:val="22"/>
        </w:rPr>
        <w:t xml:space="preserve">idade, o </w:t>
      </w:r>
      <w:proofErr w:type="spellStart"/>
      <w:r w:rsidRPr="003B2C79">
        <w:rPr>
          <w:rFonts w:ascii="Arial" w:hAnsi="Arial"/>
          <w:color w:val="00000A"/>
          <w:szCs w:val="22"/>
        </w:rPr>
        <w:t>subfinanciamento</w:t>
      </w:r>
      <w:proofErr w:type="spellEnd"/>
      <w:r w:rsidRPr="003B2C79">
        <w:rPr>
          <w:rFonts w:ascii="Arial" w:hAnsi="Arial"/>
          <w:color w:val="00000A"/>
          <w:szCs w:val="22"/>
        </w:rPr>
        <w:t xml:space="preserve"> restringe a possibilidade de se promover inclusão social, bem como um modelo de desenvolvimento que reduza as desigualdades socioeconômicas e dinamize a economia nacional. </w:t>
      </w:r>
    </w:p>
    <w:p w:rsidR="00764075" w:rsidRPr="003B2C79" w:rsidRDefault="00F83054" w:rsidP="003B2C79">
      <w:pPr>
        <w:tabs>
          <w:tab w:val="left" w:pos="8496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Em 2013, o Conselho Nacional de Saúde (CNS) mobilizou e u</w:t>
      </w:r>
      <w:r w:rsidRPr="003B2C79">
        <w:rPr>
          <w:rFonts w:ascii="Arial" w:hAnsi="Arial"/>
          <w:color w:val="00000A"/>
          <w:szCs w:val="22"/>
        </w:rPr>
        <w:t>nificou a luta da sociedade brasileira em prol da ampliação do financiamento de um sistema público e de qualidade na atenção à saúde, reunindo mais de 2,2 milhões de assinaturas para a apresentação de um projeto de lei de iniciativa popular o Saúde+10</w:t>
      </w:r>
      <w:proofErr w:type="gramStart"/>
      <w:r w:rsidRPr="003B2C79">
        <w:rPr>
          <w:rFonts w:ascii="Arial" w:hAnsi="Arial"/>
          <w:color w:val="00000A"/>
          <w:szCs w:val="22"/>
        </w:rPr>
        <w:t xml:space="preserve">  </w:t>
      </w:r>
      <w:proofErr w:type="gramEnd"/>
      <w:r w:rsidRPr="003B2C79">
        <w:rPr>
          <w:rFonts w:ascii="Arial" w:hAnsi="Arial"/>
          <w:color w:val="00000A"/>
          <w:szCs w:val="22"/>
        </w:rPr>
        <w:t>(PL</w:t>
      </w:r>
      <w:r w:rsidRPr="003B2C79">
        <w:rPr>
          <w:rFonts w:ascii="Arial" w:hAnsi="Arial"/>
          <w:color w:val="00000A"/>
          <w:szCs w:val="22"/>
        </w:rPr>
        <w:t xml:space="preserve">P 321/2013) com a proposta da alocação mínima de 10% das Receitas Correntes Brutas para o orçamento federal do SUS. </w:t>
      </w:r>
    </w:p>
    <w:p w:rsidR="00764075" w:rsidRPr="003B2C79" w:rsidRDefault="00F83054" w:rsidP="003B2C79">
      <w:pPr>
        <w:tabs>
          <w:tab w:val="left" w:pos="8496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Esse projeto de lei não foi aprovado pelo Congresso Nacional, que em seu lugar votou a Emenda Constitucional nº 86/2015 (EC 86/2015), desre</w:t>
      </w:r>
      <w:r w:rsidRPr="003B2C79">
        <w:rPr>
          <w:rFonts w:ascii="Arial" w:hAnsi="Arial"/>
          <w:color w:val="00000A"/>
          <w:szCs w:val="22"/>
        </w:rPr>
        <w:t>speitando a vontade popular: esse novo critério de apuração da aplicação mínima em ações e serviços públicos de saúde (ASPS) estabeleceu um escalonamento progressivo de percentuais - de 13,2% em 2016 a 15,0% a partir de 2020 - da Receita Corrente Líquida (</w:t>
      </w:r>
      <w:r w:rsidRPr="003B2C79">
        <w:rPr>
          <w:rFonts w:ascii="Arial" w:hAnsi="Arial"/>
          <w:color w:val="00000A"/>
          <w:szCs w:val="22"/>
        </w:rPr>
        <w:t xml:space="preserve">RCL). </w:t>
      </w:r>
    </w:p>
    <w:p w:rsidR="00764075" w:rsidRPr="003B2C79" w:rsidRDefault="00F83054" w:rsidP="003B2C79">
      <w:pPr>
        <w:tabs>
          <w:tab w:val="left" w:pos="8496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O CNS denunciou à época que isso representaria uma redução orçamentária e financeira para o SUS, como ficou comprovado - a despesa empenhada em ASPS representou 14,8% da RCL em 2015.</w:t>
      </w:r>
    </w:p>
    <w:p w:rsidR="00764075" w:rsidRPr="003B2C79" w:rsidRDefault="00F83054" w:rsidP="003B2C79">
      <w:pPr>
        <w:pStyle w:val="PargrafodaLista"/>
        <w:numPr>
          <w:ilvl w:val="0"/>
          <w:numId w:val="1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/>
          <w:b/>
          <w:smallCaps/>
          <w:color w:val="00000A"/>
          <w:szCs w:val="22"/>
        </w:rPr>
      </w:pPr>
      <w:r w:rsidRPr="003B2C79">
        <w:rPr>
          <w:rFonts w:ascii="Arial" w:hAnsi="Arial"/>
          <w:b/>
          <w:smallCaps/>
          <w:color w:val="00000A"/>
          <w:szCs w:val="22"/>
        </w:rPr>
        <w:t>Da Proposta de Emenda Constitucional 01/2015 (PEC 01/2015) que amp</w:t>
      </w:r>
      <w:r w:rsidRPr="003B2C79">
        <w:rPr>
          <w:rFonts w:ascii="Arial" w:hAnsi="Arial"/>
          <w:b/>
          <w:smallCaps/>
          <w:color w:val="00000A"/>
          <w:szCs w:val="22"/>
        </w:rPr>
        <w:t>lia os percentuais de aplicação mínima em ASPS para a PEC 241/2016 que reduz os recursos para o SUS</w:t>
      </w:r>
    </w:p>
    <w:p w:rsidR="00764075" w:rsidRPr="003B2C79" w:rsidRDefault="00F83054" w:rsidP="00167345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1418"/>
        <w:jc w:val="both"/>
        <w:rPr>
          <w:rFonts w:ascii="Arial" w:hAnsi="Arial" w:cs="Arial"/>
          <w:color w:val="00000A"/>
          <w:szCs w:val="22"/>
        </w:rPr>
      </w:pPr>
      <w:r w:rsidRPr="003B2C79">
        <w:rPr>
          <w:rFonts w:ascii="Arial" w:hAnsi="Arial" w:cs="Arial"/>
          <w:color w:val="00000A"/>
          <w:szCs w:val="22"/>
        </w:rPr>
        <w:t>O CNS assumiu então a luta pela aprovação da PEC 01/2015, que foi aprovada em primeiro turno na Câmara dos Deputados com os votos da base governista e da op</w:t>
      </w:r>
      <w:r w:rsidRPr="003B2C79">
        <w:rPr>
          <w:rFonts w:ascii="Arial" w:hAnsi="Arial" w:cs="Arial"/>
          <w:color w:val="00000A"/>
          <w:szCs w:val="22"/>
        </w:rPr>
        <w:t>osição em abril de 2016, que amplia o escalonamento progressivo de percentuais da RCL – 14,8% no primeiro ano de vigência a 19,4% a partir do sétimo ano de vigência. Os deputados começavam a reparar o grave erro cometido com a aprovação da EC 86/2015.</w:t>
      </w:r>
    </w:p>
    <w:p w:rsidR="00764075" w:rsidRPr="003B2C79" w:rsidRDefault="00F83054" w:rsidP="00167345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1418"/>
        <w:jc w:val="both"/>
        <w:rPr>
          <w:rFonts w:ascii="Arial" w:hAnsi="Arial" w:cs="Arial"/>
          <w:color w:val="00000A"/>
          <w:szCs w:val="22"/>
        </w:rPr>
      </w:pPr>
      <w:r w:rsidRPr="003B2C79">
        <w:rPr>
          <w:rFonts w:ascii="Arial" w:hAnsi="Arial" w:cs="Arial"/>
          <w:color w:val="00000A"/>
          <w:szCs w:val="22"/>
        </w:rPr>
        <w:t>Poré</w:t>
      </w:r>
      <w:r w:rsidRPr="003B2C79">
        <w:rPr>
          <w:rFonts w:ascii="Arial" w:hAnsi="Arial" w:cs="Arial"/>
          <w:color w:val="00000A"/>
          <w:szCs w:val="22"/>
        </w:rPr>
        <w:t xml:space="preserve">m, em junho de 2016, a sociedade brasileira foi surpreendida com o encaminhamento pelo governo federal da PEC 241/2016 à Câmara dos Deputados, que trata do “Novo Regime Fiscal”. Em síntese, essa proposta estabelece um “teto” para as despesas primárias (as </w:t>
      </w:r>
      <w:r w:rsidRPr="003B2C79">
        <w:rPr>
          <w:rFonts w:ascii="Arial" w:hAnsi="Arial" w:cs="Arial"/>
          <w:color w:val="00000A"/>
          <w:szCs w:val="22"/>
        </w:rPr>
        <w:t xml:space="preserve">financeiras, como juros, continuarão sem nenhum limite) nos níveis pagos em 2016 (corrigidos pela variação anual do IPCA) por um período de 20 anos (2017 a 2036). </w:t>
      </w:r>
    </w:p>
    <w:p w:rsidR="00764075" w:rsidRPr="003B2C79" w:rsidRDefault="00F83054" w:rsidP="00167345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1418"/>
        <w:jc w:val="both"/>
        <w:rPr>
          <w:rFonts w:ascii="Arial" w:hAnsi="Arial" w:cs="Arial"/>
          <w:color w:val="00000A"/>
          <w:szCs w:val="22"/>
        </w:rPr>
      </w:pPr>
      <w:r w:rsidRPr="003B2C79">
        <w:rPr>
          <w:rFonts w:ascii="Arial" w:hAnsi="Arial" w:cs="Arial"/>
          <w:color w:val="00000A"/>
          <w:szCs w:val="22"/>
        </w:rPr>
        <w:t>Para o caso das despesas com saúde, a PEC 241 estabeleceu um piso diferente daquele fixado p</w:t>
      </w:r>
      <w:r w:rsidRPr="003B2C79">
        <w:rPr>
          <w:rFonts w:ascii="Arial" w:hAnsi="Arial" w:cs="Arial"/>
          <w:color w:val="00000A"/>
          <w:szCs w:val="22"/>
        </w:rPr>
        <w:t>ela EC 86/2015 a partir de 2017: 13,2% da RCL de 2016 (corrigido pela variação anual do IPCA) – base fixa que será achatada pela queda de arrecadação tributária no contexto da recessão econômica. Trata-se de um pesado estrangulamento financeiro para o SUS:</w:t>
      </w:r>
      <w:r w:rsidRPr="003B2C79">
        <w:rPr>
          <w:rFonts w:ascii="Arial" w:hAnsi="Arial" w:cs="Arial"/>
          <w:color w:val="00000A"/>
          <w:szCs w:val="22"/>
        </w:rPr>
        <w:t xml:space="preserve"> (i) inviabiliza o aumento dos percentuais de aplicação em ASPS previstos pela PEC 01/2015 já aprovada em primeiro turno na Câmara dos Deputados; (</w:t>
      </w:r>
      <w:proofErr w:type="spellStart"/>
      <w:proofErr w:type="gramStart"/>
      <w:r w:rsidRPr="003B2C79">
        <w:rPr>
          <w:rFonts w:ascii="Arial" w:hAnsi="Arial" w:cs="Arial"/>
          <w:color w:val="00000A"/>
          <w:szCs w:val="22"/>
        </w:rPr>
        <w:t>ii</w:t>
      </w:r>
      <w:proofErr w:type="spellEnd"/>
      <w:proofErr w:type="gramEnd"/>
      <w:r w:rsidRPr="003B2C79">
        <w:rPr>
          <w:rFonts w:ascii="Arial" w:hAnsi="Arial" w:cs="Arial"/>
          <w:color w:val="00000A"/>
          <w:szCs w:val="22"/>
        </w:rPr>
        <w:t>) reduz o piso para ASPS em comparação ao da EC 86/2015 que já era insuficiente; (</w:t>
      </w:r>
      <w:proofErr w:type="spellStart"/>
      <w:r w:rsidRPr="003B2C79">
        <w:rPr>
          <w:rFonts w:ascii="Arial" w:hAnsi="Arial" w:cs="Arial"/>
          <w:color w:val="00000A"/>
          <w:szCs w:val="22"/>
        </w:rPr>
        <w:t>iii</w:t>
      </w:r>
      <w:proofErr w:type="spellEnd"/>
      <w:r w:rsidRPr="003B2C79">
        <w:rPr>
          <w:rFonts w:ascii="Arial" w:hAnsi="Arial" w:cs="Arial"/>
          <w:color w:val="00000A"/>
          <w:szCs w:val="22"/>
        </w:rPr>
        <w:t>) esse novo piso desvi</w:t>
      </w:r>
      <w:r w:rsidRPr="003B2C79">
        <w:rPr>
          <w:rFonts w:ascii="Arial" w:hAnsi="Arial" w:cs="Arial"/>
          <w:color w:val="00000A"/>
          <w:szCs w:val="22"/>
        </w:rPr>
        <w:t>ncula a evolução do gasto ao crescimento do PIB nominal e da própria RCL, além de não considerar o crescimento da população e os custos crescentes do setor (magnitude inferior aos valores aplicados nos últimos anos já congelados entre 1,6% e 1,7% do PIB no</w:t>
      </w:r>
      <w:r w:rsidRPr="003B2C79">
        <w:rPr>
          <w:rFonts w:ascii="Arial" w:hAnsi="Arial" w:cs="Arial"/>
          <w:color w:val="00000A"/>
          <w:szCs w:val="22"/>
        </w:rPr>
        <w:t>s últimos anos; (</w:t>
      </w:r>
      <w:proofErr w:type="spellStart"/>
      <w:r w:rsidRPr="003B2C79">
        <w:rPr>
          <w:rFonts w:ascii="Arial" w:hAnsi="Arial" w:cs="Arial"/>
          <w:color w:val="00000A"/>
          <w:szCs w:val="22"/>
        </w:rPr>
        <w:t>iv</w:t>
      </w:r>
      <w:proofErr w:type="spellEnd"/>
      <w:r w:rsidRPr="003B2C79">
        <w:rPr>
          <w:rFonts w:ascii="Arial" w:hAnsi="Arial" w:cs="Arial"/>
          <w:color w:val="00000A"/>
          <w:szCs w:val="22"/>
        </w:rPr>
        <w:t>) considerando o teto estipulado para o conjunto das despesas primárias, na prática, o piso se tornará de forma impositiva o teto do gasto.</w:t>
      </w:r>
    </w:p>
    <w:p w:rsidR="00764075" w:rsidRPr="003B2C79" w:rsidRDefault="00F83054" w:rsidP="00167345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1418"/>
        <w:jc w:val="both"/>
        <w:rPr>
          <w:rFonts w:ascii="Arial" w:hAnsi="Arial" w:cs="Arial"/>
          <w:color w:val="00000A"/>
          <w:szCs w:val="22"/>
        </w:rPr>
      </w:pPr>
      <w:proofErr w:type="gramStart"/>
      <w:r w:rsidRPr="003B2C79">
        <w:rPr>
          <w:rFonts w:ascii="Arial" w:hAnsi="Arial" w:cs="Arial"/>
          <w:color w:val="00000A"/>
          <w:szCs w:val="22"/>
        </w:rPr>
        <w:t>Para exemplificar, a Tabela 1 apresenta os valores aplicados em ASPS no período 2003 a 2015)</w:t>
      </w:r>
      <w:proofErr w:type="gramEnd"/>
      <w:r w:rsidRPr="003B2C79">
        <w:rPr>
          <w:rFonts w:ascii="Arial" w:hAnsi="Arial" w:cs="Arial"/>
          <w:color w:val="00000A"/>
          <w:szCs w:val="22"/>
        </w:rPr>
        <w:t>:</w:t>
      </w:r>
    </w:p>
    <w:p w:rsidR="003B2C79" w:rsidRPr="003B2C79" w:rsidRDefault="003B2C79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hAnsi="Arial"/>
          <w:b/>
          <w:color w:val="00000A"/>
          <w:szCs w:val="22"/>
        </w:rPr>
      </w:pPr>
    </w:p>
    <w:p w:rsidR="003B2C79" w:rsidRPr="003B2C79" w:rsidRDefault="003B2C79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hAnsi="Arial"/>
          <w:b/>
          <w:color w:val="00000A"/>
          <w:szCs w:val="22"/>
        </w:rPr>
      </w:pPr>
    </w:p>
    <w:p w:rsidR="00764075" w:rsidRPr="003B2C79" w:rsidRDefault="00F83054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hAnsi="Arial"/>
          <w:b/>
          <w:color w:val="00000A"/>
          <w:szCs w:val="22"/>
        </w:rPr>
      </w:pPr>
      <w:r w:rsidRPr="003B2C79">
        <w:rPr>
          <w:rFonts w:ascii="Arial" w:hAnsi="Arial"/>
          <w:b/>
          <w:color w:val="00000A"/>
          <w:szCs w:val="22"/>
        </w:rPr>
        <w:t>Tabela 1</w:t>
      </w:r>
    </w:p>
    <w:p w:rsidR="003B2C79" w:rsidRPr="003B2C79" w:rsidRDefault="003B2C79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hAnsi="Arial"/>
          <w:b/>
          <w:color w:val="00000A"/>
          <w:szCs w:val="22"/>
        </w:rPr>
      </w:pPr>
    </w:p>
    <w:p w:rsidR="00764075" w:rsidRPr="003B2C79" w:rsidRDefault="003B2C79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hAnsi="Arial"/>
          <w:b/>
          <w:smallCaps/>
          <w:color w:val="00000A"/>
          <w:szCs w:val="22"/>
        </w:rPr>
      </w:pPr>
      <w:r w:rsidRPr="003B2C79">
        <w:rPr>
          <w:rFonts w:ascii="Arial" w:hAnsi="Arial"/>
          <w:b/>
          <w:smallCaps/>
          <w:color w:val="00000A"/>
          <w:szCs w:val="22"/>
        </w:rPr>
        <w:t xml:space="preserve">Despesa com Ações e Serviços Públicos de Saúde </w:t>
      </w:r>
    </w:p>
    <w:p w:rsidR="00764075" w:rsidRPr="003B2C79" w:rsidRDefault="00F83054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hAnsi="Arial"/>
          <w:b/>
          <w:color w:val="00000A"/>
          <w:szCs w:val="22"/>
        </w:rPr>
      </w:pPr>
      <w:r w:rsidRPr="003B2C79">
        <w:rPr>
          <w:rFonts w:ascii="Arial" w:hAnsi="Arial"/>
          <w:b/>
          <w:color w:val="00000A"/>
          <w:szCs w:val="22"/>
        </w:rPr>
        <w:t>(em R$ milhões a preços médios de 2016)¹</w:t>
      </w:r>
    </w:p>
    <w:p w:rsidR="003B2C79" w:rsidRDefault="003B2C79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lang w:eastAsia="pt-BR"/>
        </w:rPr>
      </w:pPr>
    </w:p>
    <w:p w:rsidR="00764075" w:rsidRDefault="00F83054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hAnsi="Arial"/>
          <w:color w:val="00000A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5676899" cy="1009650"/>
            <wp:effectExtent l="0" t="0" r="63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74" cy="100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75" w:rsidRPr="003B2C79" w:rsidRDefault="00F83054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/>
          <w:color w:val="00000A"/>
          <w:sz w:val="16"/>
          <w:szCs w:val="16"/>
        </w:rPr>
      </w:pPr>
      <w:r w:rsidRPr="003B2C79">
        <w:rPr>
          <w:rFonts w:ascii="Arial" w:hAnsi="Arial"/>
          <w:color w:val="00000A"/>
          <w:sz w:val="16"/>
          <w:szCs w:val="16"/>
        </w:rPr>
        <w:t>Fonte: Adaptado de IBGE/IPCA (série histórica), de Ministério da Saúde/SIOPS e dos estudos do Grupo Técnico Interinstitucional de Financiamento do SUS.</w:t>
      </w:r>
    </w:p>
    <w:p w:rsidR="00764075" w:rsidRPr="003B2C79" w:rsidRDefault="00F83054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/>
          <w:color w:val="00000A"/>
          <w:sz w:val="16"/>
          <w:szCs w:val="16"/>
        </w:rPr>
      </w:pPr>
      <w:r w:rsidRPr="003B2C79">
        <w:rPr>
          <w:rFonts w:ascii="Arial" w:hAnsi="Arial"/>
          <w:color w:val="00000A"/>
          <w:sz w:val="16"/>
          <w:szCs w:val="16"/>
        </w:rPr>
        <w:t>Nota</w:t>
      </w:r>
      <w:r w:rsidRPr="003B2C79">
        <w:rPr>
          <w:rFonts w:ascii="Arial" w:hAnsi="Arial"/>
          <w:color w:val="00000A"/>
          <w:sz w:val="16"/>
          <w:szCs w:val="16"/>
        </w:rPr>
        <w:t>s:</w:t>
      </w:r>
    </w:p>
    <w:p w:rsidR="00764075" w:rsidRPr="003B2C79" w:rsidRDefault="00F83054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/>
          <w:color w:val="00000A"/>
          <w:sz w:val="16"/>
          <w:szCs w:val="16"/>
        </w:rPr>
      </w:pPr>
      <w:r w:rsidRPr="003B2C79">
        <w:rPr>
          <w:rFonts w:ascii="Arial" w:hAnsi="Arial"/>
          <w:color w:val="00000A"/>
          <w:sz w:val="16"/>
          <w:szCs w:val="16"/>
        </w:rPr>
        <w:t>(1</w:t>
      </w:r>
      <w:proofErr w:type="gramStart"/>
      <w:r w:rsidRPr="003B2C79">
        <w:rPr>
          <w:rFonts w:ascii="Arial" w:hAnsi="Arial"/>
          <w:color w:val="00000A"/>
          <w:sz w:val="16"/>
          <w:szCs w:val="16"/>
        </w:rPr>
        <w:t>)Foi</w:t>
      </w:r>
      <w:proofErr w:type="gramEnd"/>
      <w:r w:rsidRPr="003B2C79">
        <w:rPr>
          <w:rFonts w:ascii="Arial" w:hAnsi="Arial"/>
          <w:color w:val="00000A"/>
          <w:sz w:val="16"/>
          <w:szCs w:val="16"/>
        </w:rPr>
        <w:t xml:space="preserve"> considerado nesse cálculo que o  IPCA de 2016 será de 7,23%, conforme publicado no Boletim Focus (Banco Central do Brasil) de 30/09/2016. </w:t>
      </w:r>
    </w:p>
    <w:p w:rsidR="00764075" w:rsidRPr="003B2C79" w:rsidRDefault="00F83054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/>
          <w:color w:val="00000A"/>
          <w:sz w:val="16"/>
          <w:szCs w:val="16"/>
        </w:rPr>
      </w:pPr>
      <w:r w:rsidRPr="003B2C79">
        <w:rPr>
          <w:rFonts w:ascii="Arial" w:hAnsi="Arial"/>
          <w:color w:val="00000A"/>
          <w:sz w:val="16"/>
          <w:szCs w:val="16"/>
        </w:rPr>
        <w:t>(2</w:t>
      </w:r>
      <w:proofErr w:type="gramStart"/>
      <w:r w:rsidRPr="003B2C79">
        <w:rPr>
          <w:rFonts w:ascii="Arial" w:hAnsi="Arial"/>
          <w:color w:val="00000A"/>
          <w:sz w:val="16"/>
          <w:szCs w:val="16"/>
        </w:rPr>
        <w:t>)Foram</w:t>
      </w:r>
      <w:proofErr w:type="gramEnd"/>
      <w:r w:rsidRPr="003B2C79">
        <w:rPr>
          <w:rFonts w:ascii="Arial" w:hAnsi="Arial"/>
          <w:color w:val="00000A"/>
          <w:sz w:val="16"/>
          <w:szCs w:val="16"/>
        </w:rPr>
        <w:t xml:space="preserve"> consideradas as despesas empenhadas em cada ano, exceto para 2014, em que foram acrescidos R$ 3,8 </w:t>
      </w:r>
      <w:r w:rsidRPr="003B2C79">
        <w:rPr>
          <w:rFonts w:ascii="Arial" w:hAnsi="Arial"/>
          <w:color w:val="00000A"/>
          <w:sz w:val="16"/>
          <w:szCs w:val="16"/>
        </w:rPr>
        <w:t>bilhões referentes às despesas de competência de 2014 que oneraram o orçamento de 2015, conforme observado pela Comissão de Orçamento e Financiamento do Conselho Nacional de Saúde na análise do Relatório de Prestação de Contas Quadrimestral do Ministério d</w:t>
      </w:r>
      <w:r w:rsidRPr="003B2C79">
        <w:rPr>
          <w:rFonts w:ascii="Arial" w:hAnsi="Arial"/>
          <w:color w:val="00000A"/>
          <w:sz w:val="16"/>
          <w:szCs w:val="16"/>
        </w:rPr>
        <w:t>a Saúde .</w:t>
      </w:r>
    </w:p>
    <w:p w:rsidR="00764075" w:rsidRDefault="00764075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Arial" w:hAnsi="Arial"/>
          <w:color w:val="00000A"/>
          <w:sz w:val="12"/>
          <w:szCs w:val="22"/>
        </w:rPr>
      </w:pPr>
    </w:p>
    <w:p w:rsidR="003B2C79" w:rsidRDefault="003B2C79">
      <w:pPr>
        <w:tabs>
          <w:tab w:val="left" w:pos="6156"/>
          <w:tab w:val="left" w:pos="6372"/>
          <w:tab w:val="left" w:pos="7080"/>
          <w:tab w:val="left" w:pos="7788"/>
          <w:tab w:val="left" w:pos="8496"/>
        </w:tabs>
        <w:spacing w:after="120"/>
        <w:ind w:firstLine="284"/>
        <w:jc w:val="both"/>
        <w:rPr>
          <w:rFonts w:ascii="Arial" w:hAnsi="Arial"/>
          <w:color w:val="00000A"/>
          <w:szCs w:val="22"/>
        </w:rPr>
      </w:pP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Se for adotado como referência o padrão de despesas de 2014 (maior da série), pode-se dizer que:</w:t>
      </w:r>
    </w:p>
    <w:p w:rsidR="00764075" w:rsidRPr="003B2C79" w:rsidRDefault="00F83054" w:rsidP="003B2C79">
      <w:pPr>
        <w:pStyle w:val="PargrafodaLista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/>
          <w:color w:val="00000A"/>
          <w:szCs w:val="22"/>
        </w:rPr>
      </w:pPr>
      <w:proofErr w:type="gramStart"/>
      <w:r w:rsidRPr="003B2C79">
        <w:rPr>
          <w:rFonts w:ascii="Arial" w:hAnsi="Arial"/>
          <w:color w:val="00000A"/>
          <w:szCs w:val="22"/>
        </w:rPr>
        <w:t>o</w:t>
      </w:r>
      <w:proofErr w:type="gramEnd"/>
      <w:r w:rsidRPr="003B2C79">
        <w:rPr>
          <w:rFonts w:ascii="Arial" w:hAnsi="Arial"/>
          <w:color w:val="00000A"/>
          <w:szCs w:val="22"/>
        </w:rPr>
        <w:t xml:space="preserve"> valor a ser empenhado em 2016 não poderia ser inferior a R$ 113,7 bilhões (enquanto a disponibilidade orçamentária segundo o Decreto 8784 é de R$ 106,9 bilhões, portanto, R$ 6,8 bilhões a menos em termos reais); </w:t>
      </w:r>
    </w:p>
    <w:p w:rsidR="00764075" w:rsidRPr="003B2C79" w:rsidRDefault="00F83054" w:rsidP="003B2C79">
      <w:pPr>
        <w:pStyle w:val="PargrafodaLista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/>
          <w:color w:val="00000A"/>
          <w:szCs w:val="22"/>
        </w:rPr>
      </w:pPr>
      <w:proofErr w:type="gramStart"/>
      <w:r w:rsidRPr="003B2C79">
        <w:rPr>
          <w:rFonts w:ascii="Arial" w:hAnsi="Arial"/>
          <w:color w:val="00000A"/>
          <w:szCs w:val="22"/>
        </w:rPr>
        <w:t>o</w:t>
      </w:r>
      <w:proofErr w:type="gramEnd"/>
      <w:r w:rsidRPr="003B2C79">
        <w:rPr>
          <w:rFonts w:ascii="Arial" w:hAnsi="Arial"/>
          <w:color w:val="00000A"/>
          <w:szCs w:val="22"/>
        </w:rPr>
        <w:t xml:space="preserve"> valor da programação orçamentária de 20</w:t>
      </w:r>
      <w:r w:rsidRPr="003B2C79">
        <w:rPr>
          <w:rFonts w:ascii="Arial" w:hAnsi="Arial"/>
          <w:color w:val="00000A"/>
          <w:szCs w:val="22"/>
        </w:rPr>
        <w:t>17 não poderia ser inferior a R$ 119,2 bilhões</w:t>
      </w:r>
      <w:r w:rsidRPr="003B2C79">
        <w:rPr>
          <w:rStyle w:val="ncoradanotaderodap"/>
          <w:rFonts w:ascii="Arial" w:hAnsi="Arial"/>
          <w:color w:val="00000A"/>
          <w:szCs w:val="22"/>
        </w:rPr>
        <w:footnoteReference w:id="1"/>
      </w:r>
      <w:r w:rsidRPr="003B2C79">
        <w:rPr>
          <w:rFonts w:ascii="Arial" w:hAnsi="Arial"/>
          <w:color w:val="00000A"/>
          <w:szCs w:val="22"/>
        </w:rPr>
        <w:t xml:space="preserve"> (enquanto o valor da PLOA 2017 para ASPS incluindo o valor das emendas impositivas será de R$ 110,1 bilhões, portanto, R$ 9,1 bilhões a menos).</w:t>
      </w:r>
    </w:p>
    <w:p w:rsidR="00764075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Portanto, o CNS denuncia as perdas de recursos para o SUS em 201</w:t>
      </w:r>
      <w:r w:rsidRPr="003B2C79">
        <w:rPr>
          <w:rFonts w:ascii="Arial" w:hAnsi="Arial"/>
          <w:color w:val="00000A"/>
          <w:szCs w:val="22"/>
        </w:rPr>
        <w:t>6 e 2017, que serão ainda mais elevadas se a PEC 241/2016 for aprovada pelo Congresso Nacional.</w:t>
      </w:r>
    </w:p>
    <w:p w:rsidR="00764075" w:rsidRPr="003B2C79" w:rsidRDefault="00F83054" w:rsidP="003B2C79">
      <w:pPr>
        <w:pStyle w:val="PargrafodaLista"/>
        <w:numPr>
          <w:ilvl w:val="0"/>
          <w:numId w:val="1"/>
        </w:numPr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1418"/>
        <w:jc w:val="both"/>
        <w:rPr>
          <w:rFonts w:ascii="Arial" w:hAnsi="Arial"/>
          <w:b/>
          <w:color w:val="00000A"/>
          <w:szCs w:val="22"/>
        </w:rPr>
      </w:pPr>
      <w:r w:rsidRPr="003B2C79">
        <w:rPr>
          <w:rFonts w:ascii="Arial" w:hAnsi="Arial"/>
          <w:b/>
          <w:color w:val="00000A"/>
          <w:szCs w:val="22"/>
        </w:rPr>
        <w:t xml:space="preserve">Não à PEC 241/2016 </w:t>
      </w: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O CNS diz “NÃO” à PEC 241/2016, porque a essência dela é o corte de despesas primárias ao arrepio dos atuais direitos constitucionais para fazer valer o superávit primário nos próximos 20 anos, “corte” este expresso pela lógica da correção dos gastos tão s</w:t>
      </w:r>
      <w:r w:rsidRPr="003B2C79">
        <w:rPr>
          <w:rFonts w:ascii="Arial" w:hAnsi="Arial"/>
          <w:color w:val="00000A"/>
          <w:szCs w:val="22"/>
        </w:rPr>
        <w:t xml:space="preserve">omente pela variação anual do IPCA. </w:t>
      </w: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 w:cs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Se for aprovada a PEC 241/2016, haverá redução no orçamento do Ministério da Saúde nos próximos anos, desrespeitado o princípio da vedação de retrocesso, conforme fundamentação recente da procuradoria Geral da República</w:t>
      </w:r>
      <w:r w:rsidRPr="003B2C79">
        <w:rPr>
          <w:rFonts w:ascii="Arial" w:hAnsi="Arial"/>
          <w:color w:val="00000A"/>
          <w:szCs w:val="22"/>
        </w:rPr>
        <w:t xml:space="preserve"> na Ação Direta de Inconstitucionalidade ajuizada contra a EC 86/2015. Para exemplificar, na redação </w:t>
      </w:r>
      <w:r w:rsidRPr="003B2C79">
        <w:rPr>
          <w:rFonts w:ascii="Arial" w:hAnsi="Arial" w:cs="Arial"/>
          <w:color w:val="00000A"/>
          <w:szCs w:val="22"/>
        </w:rPr>
        <w:t>original encaminhada ao Congresso Nacional, a PEC 241 fixa o mínimo em R$ 98,3 bilhões</w:t>
      </w:r>
      <w:r w:rsidRPr="003B2C79">
        <w:rPr>
          <w:rStyle w:val="ncoradanotaderodap"/>
          <w:rFonts w:ascii="Arial" w:hAnsi="Arial" w:cs="Arial"/>
          <w:color w:val="00000A"/>
          <w:szCs w:val="22"/>
        </w:rPr>
        <w:footnoteReference w:id="2"/>
      </w:r>
      <w:r w:rsidRPr="003B2C79">
        <w:rPr>
          <w:rFonts w:ascii="Arial" w:hAnsi="Arial" w:cs="Arial"/>
          <w:color w:val="00000A"/>
          <w:szCs w:val="22"/>
        </w:rPr>
        <w:t xml:space="preserve"> para 2017 (abaixo dos R$ 119,2 bilhões necessários para manter o ní</w:t>
      </w:r>
      <w:r w:rsidRPr="003B2C79">
        <w:rPr>
          <w:rFonts w:ascii="Arial" w:hAnsi="Arial" w:cs="Arial"/>
          <w:color w:val="00000A"/>
          <w:szCs w:val="22"/>
        </w:rPr>
        <w:t>vel das despesas de 2014 conforme apurado na seção anterior, ou seja, inferior em R$ 20,9 bilhões).</w:t>
      </w: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 w:cs="Arial"/>
          <w:color w:val="00000A"/>
          <w:szCs w:val="22"/>
        </w:rPr>
      </w:pPr>
      <w:r w:rsidRPr="003B2C79">
        <w:rPr>
          <w:rFonts w:ascii="Arial" w:hAnsi="Arial" w:cs="Arial"/>
          <w:color w:val="00000A"/>
          <w:szCs w:val="22"/>
        </w:rPr>
        <w:t>Diante da evidente queda de recursos para o SUS denunciada pelo CNS e por demais instituições e movimentos que defendem a saúde pública universal e gratuita</w:t>
      </w:r>
      <w:r w:rsidRPr="003B2C79">
        <w:rPr>
          <w:rFonts w:ascii="Arial" w:hAnsi="Arial" w:cs="Arial"/>
          <w:color w:val="00000A"/>
          <w:szCs w:val="22"/>
        </w:rPr>
        <w:t xml:space="preserve">, houve um recuo do governo manifestado no anúncio do </w:t>
      </w:r>
      <w:proofErr w:type="gramStart"/>
      <w:r w:rsidRPr="003B2C79">
        <w:rPr>
          <w:rFonts w:ascii="Arial" w:hAnsi="Arial" w:cs="Arial"/>
          <w:color w:val="00000A"/>
          <w:szCs w:val="22"/>
        </w:rPr>
        <w:t>Sr.</w:t>
      </w:r>
      <w:proofErr w:type="gramEnd"/>
      <w:r w:rsidRPr="003B2C79">
        <w:rPr>
          <w:rFonts w:ascii="Arial" w:hAnsi="Arial" w:cs="Arial"/>
          <w:color w:val="00000A"/>
          <w:szCs w:val="22"/>
        </w:rPr>
        <w:t xml:space="preserve"> Ministro da Fazenda, Henrique Meirelles, e do Sr. Deputado relator da PEC 241/2016 na Câmara dos Deputados, </w:t>
      </w:r>
      <w:proofErr w:type="spellStart"/>
      <w:r w:rsidRPr="003B2C79">
        <w:rPr>
          <w:rFonts w:ascii="Arial" w:hAnsi="Arial" w:cs="Arial"/>
          <w:color w:val="00000A"/>
          <w:szCs w:val="22"/>
        </w:rPr>
        <w:t>Darcisio</w:t>
      </w:r>
      <w:proofErr w:type="spellEnd"/>
      <w:r w:rsidRPr="003B2C79">
        <w:rPr>
          <w:rFonts w:ascii="Arial" w:hAnsi="Arial" w:cs="Arial"/>
          <w:color w:val="00000A"/>
          <w:szCs w:val="22"/>
        </w:rPr>
        <w:t xml:space="preserve"> </w:t>
      </w:r>
      <w:proofErr w:type="spellStart"/>
      <w:r w:rsidRPr="003B2C79">
        <w:rPr>
          <w:rFonts w:ascii="Arial" w:hAnsi="Arial" w:cs="Arial"/>
          <w:color w:val="00000A"/>
          <w:szCs w:val="22"/>
        </w:rPr>
        <w:t>Perondi</w:t>
      </w:r>
      <w:proofErr w:type="spellEnd"/>
      <w:r w:rsidRPr="003B2C79">
        <w:rPr>
          <w:rFonts w:ascii="Arial" w:hAnsi="Arial" w:cs="Arial"/>
          <w:color w:val="00000A"/>
          <w:szCs w:val="22"/>
        </w:rPr>
        <w:t xml:space="preserve"> (</w:t>
      </w:r>
      <w:hyperlink r:id="rId11">
        <w:r w:rsidRPr="003B2C79">
          <w:rPr>
            <w:rStyle w:val="LinkdaInternet"/>
            <w:rFonts w:ascii="Arial" w:hAnsi="Arial" w:cs="Arial"/>
            <w:szCs w:val="22"/>
          </w:rPr>
          <w:t>http://agenciabrasil.ebc.com.br/economia/noticia/2016-10/meirelles-diz-que-pontos-fundamentais-da-pec-dos-gastos-serao-mantidos</w:t>
        </w:r>
      </w:hyperlink>
      <w:r w:rsidRPr="003B2C79">
        <w:rPr>
          <w:rFonts w:ascii="Arial" w:hAnsi="Arial" w:cs="Arial"/>
          <w:color w:val="00000A"/>
          <w:szCs w:val="22"/>
        </w:rPr>
        <w:t xml:space="preserve"> Acesso em 04/10/2016): valerá para a saúde em 2017 a </w:t>
      </w:r>
      <w:r w:rsidRPr="003B2C79">
        <w:rPr>
          <w:rFonts w:ascii="Arial" w:hAnsi="Arial" w:cs="Arial"/>
          <w:color w:val="00000A"/>
          <w:szCs w:val="22"/>
        </w:rPr>
        <w:t>aplicação mínima de 13,7% da RCL</w:t>
      </w:r>
      <w:r w:rsidRPr="003B2C79">
        <w:rPr>
          <w:rStyle w:val="ncoradanotaderodap"/>
          <w:rFonts w:ascii="Arial" w:hAnsi="Arial" w:cs="Arial"/>
          <w:color w:val="00000A"/>
          <w:szCs w:val="22"/>
        </w:rPr>
        <w:footnoteReference w:id="3"/>
      </w:r>
      <w:r w:rsidRPr="003B2C79">
        <w:rPr>
          <w:rFonts w:ascii="Arial" w:hAnsi="Arial" w:cs="Arial"/>
          <w:color w:val="00000A"/>
          <w:szCs w:val="22"/>
        </w:rPr>
        <w:t xml:space="preserve"> nos termos definidos atualmente pela EC 86/2015, que corresponde a R$ 103,9 bilhões, isto é, também abaixo dos R$ 119,2 bilhões (diferença cai para R$ 15,3 bilhões). A partir de 2018, segundo o anúncio das autoridades, ess</w:t>
      </w:r>
      <w:r w:rsidRPr="003B2C79">
        <w:rPr>
          <w:rFonts w:ascii="Arial" w:hAnsi="Arial" w:cs="Arial"/>
          <w:color w:val="00000A"/>
          <w:szCs w:val="22"/>
        </w:rPr>
        <w:t>e mínimo será corrigido pela variação do IPCA medida em junho de cada ano, ou seja, a redução de recursos se aprofundaria a partir de 2018 e até 2036.</w:t>
      </w: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 w:cs="Arial"/>
          <w:color w:val="00000A"/>
          <w:szCs w:val="22"/>
        </w:rPr>
        <w:t xml:space="preserve">Mas, nesse anúncio das autoridades, nada foi comentado em relação ao texto já aprovado do Projeto de Lei </w:t>
      </w:r>
      <w:r w:rsidRPr="003B2C79">
        <w:rPr>
          <w:rFonts w:ascii="Arial" w:hAnsi="Arial" w:cs="Arial"/>
          <w:color w:val="00000A"/>
          <w:szCs w:val="22"/>
        </w:rPr>
        <w:t xml:space="preserve">de Diretrizes Orçamentárias para 2017 (PLDO 2017), que estabelece para o próximo ano, além do mínimo de 13,7% da RCL da EC 86/2015, </w:t>
      </w:r>
      <w:proofErr w:type="gramStart"/>
      <w:r w:rsidRPr="003B2C79">
        <w:rPr>
          <w:rFonts w:ascii="Arial" w:hAnsi="Arial" w:cs="Arial"/>
          <w:color w:val="00000A"/>
          <w:szCs w:val="22"/>
        </w:rPr>
        <w:t>um outro</w:t>
      </w:r>
      <w:proofErr w:type="gramEnd"/>
      <w:r w:rsidRPr="003B2C79">
        <w:rPr>
          <w:rFonts w:ascii="Arial" w:hAnsi="Arial" w:cs="Arial"/>
          <w:color w:val="00000A"/>
          <w:szCs w:val="22"/>
        </w:rPr>
        <w:t xml:space="preserve"> valor de referência para o financiamento do SUS: o valor empenhado em 2016 corrigido pela variação do IPCA, que foi</w:t>
      </w:r>
      <w:r w:rsidRPr="003B2C79">
        <w:rPr>
          <w:rFonts w:ascii="Arial" w:hAnsi="Arial" w:cs="Arial"/>
          <w:color w:val="00000A"/>
          <w:szCs w:val="22"/>
        </w:rPr>
        <w:t xml:space="preserve"> definido no citado anúncio das autoridades em 7,2%; considerando que serão empenhados em ASPS pelo Ministério da Saúde em 2016 os R$ 106,9 bilhões que foram disponibilizados no Decreto 8784, o valor de 2017 não poderia ser inferior a R$ 114,6 bilhões, o q</w:t>
      </w:r>
      <w:r w:rsidRPr="003B2C79">
        <w:rPr>
          <w:rFonts w:ascii="Arial" w:hAnsi="Arial" w:cs="Arial"/>
          <w:color w:val="00000A"/>
          <w:szCs w:val="22"/>
        </w:rPr>
        <w:t xml:space="preserve">ue representaria uma diferença de recursos para o SUS bem menor em comparação aos R$ 119,2 bilhões apurados anteriormente para manutenção dos níveis de 2014 (ou seja, haveria uma perda de R$ 4,6 bilhões). O que pode representar o silêncio das autoridades: </w:t>
      </w:r>
      <w:r w:rsidRPr="003B2C79">
        <w:rPr>
          <w:rFonts w:ascii="Arial" w:hAnsi="Arial" w:cs="Arial"/>
          <w:color w:val="00000A"/>
          <w:szCs w:val="22"/>
        </w:rPr>
        <w:t>esconder que esse dispositivo será revogado se a PEC 241/2016 for aprovada ainda este ano e, com isso, que a perda já em 2017</w:t>
      </w:r>
      <w:r w:rsidRPr="003B2C79">
        <w:rPr>
          <w:rFonts w:ascii="Arial" w:hAnsi="Arial"/>
          <w:color w:val="00000A"/>
          <w:szCs w:val="22"/>
        </w:rPr>
        <w:t xml:space="preserve"> para o SUS seria mesmo os R$ 15,3 bilhões?</w:t>
      </w: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Mais uma vez o CNS denuncia que a mudança constitucional na regra de cálculo da aplicaç</w:t>
      </w:r>
      <w:r w:rsidRPr="003B2C79">
        <w:rPr>
          <w:rFonts w:ascii="Arial" w:hAnsi="Arial"/>
          <w:color w:val="00000A"/>
          <w:szCs w:val="22"/>
        </w:rPr>
        <w:t xml:space="preserve">ão em ASPS trará perdas para o SUS, mas desta vez muito maiores que antes, inclusive porque o “teto” geral de despesas reduzirá as despesas sociais com sérias implicações para as condições de saúde da população. </w:t>
      </w: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O Congresso Nacional está diante de uma opo</w:t>
      </w:r>
      <w:r w:rsidRPr="003B2C79">
        <w:rPr>
          <w:rFonts w:ascii="Arial" w:hAnsi="Arial"/>
          <w:color w:val="00000A"/>
          <w:szCs w:val="22"/>
        </w:rPr>
        <w:t>rtunidade histórica de reparar o erro cometido quando da aprovação da EC 86/2015: basta votar contra a PEC 241/2016, mas para o isso o CNS precisa mobilizar a sociedade contra esse ataque à Constituição de 1988 e aos direitos sociais.</w:t>
      </w: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Para o governo, o pri</w:t>
      </w:r>
      <w:r w:rsidRPr="003B2C79">
        <w:rPr>
          <w:rFonts w:ascii="Arial" w:hAnsi="Arial"/>
          <w:color w:val="00000A"/>
          <w:szCs w:val="22"/>
        </w:rPr>
        <w:t>ncipal problema fiscal do Brasil é a vinculação constitucional, que garante a aplicação mínima para a saúde e educação: além de não ser verdade, representa uma ameaça ao bem-estar das famílias e dos trabalhadores, para priorizar o pagamento de juros e amor</w:t>
      </w:r>
      <w:r w:rsidRPr="003B2C79">
        <w:rPr>
          <w:rFonts w:ascii="Arial" w:hAnsi="Arial"/>
          <w:color w:val="00000A"/>
          <w:szCs w:val="22"/>
        </w:rPr>
        <w:t xml:space="preserve">tização da dívida pública. </w:t>
      </w: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Uma coisa é debater um ajuste fiscal que patrocine justiça distributiva; outra coisa muito diferente é aceitar algum tipo de "remendo" na PEC 241/2016: não podemos, tampouco devemos aceitar propostas que apenas tentem revisá-la.</w:t>
      </w:r>
      <w:r w:rsidRPr="003B2C79">
        <w:rPr>
          <w:rFonts w:ascii="Arial" w:hAnsi="Arial"/>
          <w:color w:val="00000A"/>
          <w:szCs w:val="22"/>
        </w:rPr>
        <w:t xml:space="preserve"> Afinal, o "teto" de despesas representará a deterioração das condições de vida da população, o que significa deterioração das condições de saúde da população pelo conceito da Organização Mundial de Saúde. É uma ilusão acreditar que alguma mudança na PEC 2</w:t>
      </w:r>
      <w:r w:rsidRPr="003B2C79">
        <w:rPr>
          <w:rFonts w:ascii="Arial" w:hAnsi="Arial"/>
          <w:color w:val="00000A"/>
          <w:szCs w:val="22"/>
        </w:rPr>
        <w:t>41 poderá ser benéfica para a seguridade social, assim como não será certamente para a saúde e a educação - essa "fragmentação" inexiste.  Se não lutarmos firmemente contra a aprovação da PEC 241/2016, perderemos os direitos de cidadania pressupostos na Co</w:t>
      </w:r>
      <w:r w:rsidRPr="003B2C79">
        <w:rPr>
          <w:rFonts w:ascii="Arial" w:hAnsi="Arial"/>
          <w:color w:val="00000A"/>
          <w:szCs w:val="22"/>
        </w:rPr>
        <w:t>nstituição de 1988.</w:t>
      </w: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Há alternativas de modo a preservar o interesse da maioria dos duzentos milhões de brasileiros – que teriam seus direitos suprimidos com a aprovação da PEC 241/2016. Por exemplo: rever a renúncia fiscal (gastos tributários), que está pr</w:t>
      </w:r>
      <w:r w:rsidRPr="003B2C79">
        <w:rPr>
          <w:rFonts w:ascii="Arial" w:hAnsi="Arial"/>
          <w:color w:val="00000A"/>
          <w:szCs w:val="22"/>
        </w:rPr>
        <w:t>ojetada acima de R$ 300 bilhões para os próximos anos; rever a legislação do IR, para criar faixas de rendimentos superiores às atuais com alíquotas mais elevadas (de modo a tributar os que estão no topo da pirâmide social); rever a estrutura tributária, p</w:t>
      </w:r>
      <w:r w:rsidRPr="003B2C79">
        <w:rPr>
          <w:rFonts w:ascii="Arial" w:hAnsi="Arial"/>
          <w:color w:val="00000A"/>
          <w:szCs w:val="22"/>
        </w:rPr>
        <w:t>ara que se reduza a incidência sobre produção e consumo e aumente a incidência sobre patrimônio, renda e riqueza; rever a isenção da tributação das remessas de lucros e dividendos, criar uma tributação sobre as grandes transações financeiras e sobre as gra</w:t>
      </w:r>
      <w:r w:rsidRPr="003B2C79">
        <w:rPr>
          <w:rFonts w:ascii="Arial" w:hAnsi="Arial"/>
          <w:color w:val="00000A"/>
          <w:szCs w:val="22"/>
        </w:rPr>
        <w:t>ndes fortunas, bem como aumentar a tributação sobre tabaco, álcool, motocicletas entre outras iniciativas possíveis.</w:t>
      </w:r>
    </w:p>
    <w:p w:rsidR="00764075" w:rsidRPr="003B2C79" w:rsidRDefault="00F83054" w:rsidP="003B2C79">
      <w:pPr>
        <w:tabs>
          <w:tab w:val="left" w:pos="1701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proofErr w:type="gramStart"/>
      <w:r w:rsidRPr="003B2C79">
        <w:rPr>
          <w:rFonts w:ascii="Arial" w:hAnsi="Arial"/>
          <w:color w:val="00000A"/>
          <w:szCs w:val="22"/>
        </w:rPr>
        <w:t>Da mesma forma, o CNS defende que, conjuntamente, sejam adotadas medidas para aumentar a qualidade do gasto público em geral, e da saúde em</w:t>
      </w:r>
      <w:r w:rsidRPr="003B2C79">
        <w:rPr>
          <w:rFonts w:ascii="Arial" w:hAnsi="Arial"/>
          <w:color w:val="00000A"/>
          <w:szCs w:val="22"/>
        </w:rPr>
        <w:t xml:space="preserve"> particular, com a adoção de mecanismos de gestão mais eficientes que, em última instância, requerem recursos para a modernização tecnológica para esse fim de modo a dar conta de um país com dimensão continental e fortes desigualdades regionais.</w:t>
      </w:r>
      <w:proofErr w:type="gramEnd"/>
      <w:r w:rsidRPr="003B2C79">
        <w:rPr>
          <w:rFonts w:ascii="Arial" w:hAnsi="Arial"/>
          <w:color w:val="00000A"/>
          <w:szCs w:val="22"/>
        </w:rPr>
        <w:t xml:space="preserve"> No caso do</w:t>
      </w:r>
      <w:r w:rsidRPr="003B2C79">
        <w:rPr>
          <w:rFonts w:ascii="Arial" w:hAnsi="Arial"/>
          <w:color w:val="00000A"/>
          <w:szCs w:val="22"/>
        </w:rPr>
        <w:t xml:space="preserve"> SUS, é preciso também garantir que os recursos adicionais sejam destinados para a mudança do modelo de atenção, para que a atenção primária seja a ordenadora do cuidado, e para a valorização dos servidores públicos da saúde, que refletirão na qualidade do</w:t>
      </w:r>
      <w:r w:rsidRPr="003B2C79">
        <w:rPr>
          <w:rFonts w:ascii="Arial" w:hAnsi="Arial"/>
          <w:color w:val="00000A"/>
          <w:szCs w:val="22"/>
        </w:rPr>
        <w:t xml:space="preserve"> atendimento às necessidades de saúde da população.</w:t>
      </w:r>
    </w:p>
    <w:p w:rsidR="00764075" w:rsidRPr="003B2C79" w:rsidRDefault="00F83054" w:rsidP="003B2C79">
      <w:pPr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1418"/>
        <w:jc w:val="both"/>
        <w:rPr>
          <w:rFonts w:ascii="Arial" w:hAnsi="Arial"/>
          <w:color w:val="00000A"/>
          <w:szCs w:val="22"/>
        </w:rPr>
      </w:pPr>
      <w:r w:rsidRPr="003B2C79">
        <w:rPr>
          <w:rFonts w:ascii="Arial" w:hAnsi="Arial"/>
          <w:color w:val="00000A"/>
          <w:szCs w:val="22"/>
        </w:rPr>
        <w:t>Desta forma, o CNS entende que a PEC 241/2016, se aprovada, aprofundará a atual política econômica recessiva, gerando desemprego, queda de renda e sucateamento das políticas sociais. Portanto defendemos u</w:t>
      </w:r>
      <w:r w:rsidRPr="003B2C79">
        <w:rPr>
          <w:rFonts w:ascii="Arial" w:hAnsi="Arial"/>
          <w:color w:val="00000A"/>
          <w:szCs w:val="22"/>
        </w:rPr>
        <w:t xml:space="preserve">ma mudança da orientação desta política para a promoção do crescimento e da inclusão social, reforçando o papel dos gastos públicos em saúde para impulsionar o desenvolvimento e para reduzir as desigualdades sociais e regionais. </w:t>
      </w:r>
    </w:p>
    <w:p w:rsidR="00167345" w:rsidRDefault="00167345" w:rsidP="003B2C79">
      <w:pPr>
        <w:tabs>
          <w:tab w:val="left" w:pos="1701"/>
        </w:tabs>
        <w:ind w:firstLine="1418"/>
        <w:jc w:val="both"/>
        <w:rPr>
          <w:rFonts w:ascii="Arial" w:hAnsi="Arial"/>
          <w:b/>
          <w:color w:val="00000A"/>
          <w:szCs w:val="22"/>
        </w:rPr>
      </w:pPr>
    </w:p>
    <w:p w:rsidR="00764075" w:rsidRPr="003B2C79" w:rsidRDefault="003B2C79" w:rsidP="003B2C79">
      <w:pPr>
        <w:tabs>
          <w:tab w:val="left" w:pos="1701"/>
        </w:tabs>
        <w:ind w:firstLine="1418"/>
        <w:jc w:val="both"/>
        <w:rPr>
          <w:rFonts w:ascii="Arial" w:hAnsi="Arial"/>
          <w:b/>
          <w:color w:val="00000A"/>
          <w:szCs w:val="22"/>
        </w:rPr>
      </w:pPr>
      <w:r w:rsidRPr="003B2C79">
        <w:rPr>
          <w:rFonts w:ascii="Arial" w:hAnsi="Arial"/>
          <w:b/>
          <w:color w:val="00000A"/>
          <w:szCs w:val="22"/>
        </w:rPr>
        <w:t>Não à Recessão e ao Desemprego!</w:t>
      </w:r>
    </w:p>
    <w:p w:rsidR="00764075" w:rsidRPr="003B2C79" w:rsidRDefault="003B2C79" w:rsidP="003B2C79">
      <w:pPr>
        <w:tabs>
          <w:tab w:val="left" w:pos="1701"/>
        </w:tabs>
        <w:ind w:firstLine="1418"/>
        <w:jc w:val="both"/>
        <w:rPr>
          <w:rFonts w:ascii="Arial" w:hAnsi="Arial"/>
          <w:b/>
          <w:color w:val="00000A"/>
          <w:szCs w:val="22"/>
        </w:rPr>
      </w:pPr>
      <w:r w:rsidRPr="003B2C79">
        <w:rPr>
          <w:rFonts w:ascii="Arial" w:hAnsi="Arial"/>
          <w:b/>
          <w:color w:val="00000A"/>
          <w:szCs w:val="22"/>
        </w:rPr>
        <w:t>Não À PEC 241/2016 que levará ao Desmonte do SUS e à Redução de Direitos Sociais!</w:t>
      </w:r>
    </w:p>
    <w:p w:rsidR="00764075" w:rsidRPr="003B2C79" w:rsidRDefault="003B2C79" w:rsidP="003B2C79">
      <w:pPr>
        <w:tabs>
          <w:tab w:val="left" w:pos="1701"/>
        </w:tabs>
        <w:ind w:firstLine="1418"/>
        <w:jc w:val="both"/>
        <w:rPr>
          <w:rFonts w:ascii="Arial" w:hAnsi="Arial"/>
          <w:b/>
          <w:smallCaps/>
          <w:color w:val="00000A"/>
          <w:szCs w:val="22"/>
        </w:rPr>
      </w:pPr>
      <w:r w:rsidRPr="003B2C79">
        <w:rPr>
          <w:rFonts w:ascii="Arial" w:hAnsi="Arial"/>
          <w:b/>
          <w:color w:val="00000A"/>
          <w:szCs w:val="22"/>
        </w:rPr>
        <w:t xml:space="preserve">O CNS defende uma nova Política Econômica e </w:t>
      </w:r>
      <w:proofErr w:type="gramStart"/>
      <w:r w:rsidRPr="003B2C79">
        <w:rPr>
          <w:rFonts w:ascii="Arial" w:hAnsi="Arial"/>
          <w:b/>
          <w:color w:val="00000A"/>
          <w:szCs w:val="22"/>
        </w:rPr>
        <w:t>uma outra</w:t>
      </w:r>
      <w:proofErr w:type="gramEnd"/>
      <w:r w:rsidRPr="003B2C79">
        <w:rPr>
          <w:rFonts w:ascii="Arial" w:hAnsi="Arial"/>
          <w:b/>
          <w:color w:val="00000A"/>
          <w:szCs w:val="22"/>
        </w:rPr>
        <w:t xml:space="preserve"> forma de solução das contas públicas que respeite a Constituição-Cidadã</w:t>
      </w:r>
      <w:r w:rsidRPr="003B2C79">
        <w:rPr>
          <w:rFonts w:ascii="Arial" w:hAnsi="Arial"/>
          <w:b/>
          <w:smallCaps/>
          <w:color w:val="00000A"/>
          <w:szCs w:val="22"/>
        </w:rPr>
        <w:t>!</w:t>
      </w:r>
    </w:p>
    <w:p w:rsidR="00764075" w:rsidRPr="003B2C79" w:rsidRDefault="00764075" w:rsidP="003B2C79">
      <w:pPr>
        <w:tabs>
          <w:tab w:val="left" w:pos="1701"/>
          <w:tab w:val="left" w:pos="6156"/>
          <w:tab w:val="left" w:pos="6372"/>
          <w:tab w:val="left" w:pos="7080"/>
          <w:tab w:val="left" w:pos="7788"/>
          <w:tab w:val="left" w:pos="8496"/>
        </w:tabs>
        <w:ind w:firstLine="1418"/>
        <w:rPr>
          <w:szCs w:val="22"/>
        </w:rPr>
      </w:pPr>
    </w:p>
    <w:p w:rsidR="00764075" w:rsidRPr="003B2C79" w:rsidRDefault="00F83054" w:rsidP="003B2C79">
      <w:pPr>
        <w:tabs>
          <w:tab w:val="left" w:pos="1701"/>
          <w:tab w:val="left" w:pos="6156"/>
          <w:tab w:val="left" w:pos="6372"/>
          <w:tab w:val="left" w:pos="7080"/>
          <w:tab w:val="left" w:pos="7788"/>
          <w:tab w:val="left" w:pos="8496"/>
        </w:tabs>
        <w:ind w:firstLine="1418"/>
        <w:jc w:val="center"/>
        <w:rPr>
          <w:rFonts w:ascii="Arial" w:hAnsi="Arial"/>
          <w:szCs w:val="22"/>
        </w:rPr>
      </w:pPr>
      <w:r w:rsidRPr="003B2C79">
        <w:rPr>
          <w:rFonts w:ascii="Arial" w:hAnsi="Arial"/>
          <w:szCs w:val="22"/>
        </w:rPr>
        <w:t>Brasília 04 de outubro de 2016</w:t>
      </w:r>
    </w:p>
    <w:p w:rsidR="00764075" w:rsidRPr="003B2C79" w:rsidRDefault="00764075" w:rsidP="003B2C79">
      <w:pPr>
        <w:tabs>
          <w:tab w:val="left" w:pos="1701"/>
          <w:tab w:val="left" w:pos="6156"/>
          <w:tab w:val="left" w:pos="6372"/>
          <w:tab w:val="left" w:pos="7080"/>
          <w:tab w:val="left" w:pos="7788"/>
          <w:tab w:val="left" w:pos="8496"/>
        </w:tabs>
        <w:ind w:firstLine="1418"/>
        <w:jc w:val="center"/>
        <w:rPr>
          <w:rFonts w:ascii="Arial" w:hAnsi="Arial"/>
          <w:szCs w:val="22"/>
        </w:rPr>
      </w:pPr>
    </w:p>
    <w:p w:rsidR="00764075" w:rsidRPr="00167345" w:rsidRDefault="00F83054" w:rsidP="003B2C79">
      <w:pPr>
        <w:tabs>
          <w:tab w:val="left" w:pos="1701"/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1418"/>
        <w:jc w:val="center"/>
        <w:rPr>
          <w:rFonts w:ascii="Arial" w:hAnsi="Arial"/>
          <w:b/>
          <w:smallCaps/>
          <w:szCs w:val="22"/>
        </w:rPr>
      </w:pPr>
      <w:r w:rsidRPr="00167345">
        <w:rPr>
          <w:rFonts w:ascii="Arial" w:hAnsi="Arial"/>
          <w:b/>
          <w:smallCaps/>
          <w:szCs w:val="22"/>
        </w:rPr>
        <w:t xml:space="preserve">Ronald </w:t>
      </w:r>
      <w:r w:rsidRPr="00167345">
        <w:rPr>
          <w:rFonts w:ascii="Arial" w:hAnsi="Arial"/>
          <w:b/>
          <w:smallCaps/>
          <w:szCs w:val="22"/>
        </w:rPr>
        <w:t>Ferreira dos Santos</w:t>
      </w:r>
    </w:p>
    <w:p w:rsidR="00764075" w:rsidRDefault="00F83054" w:rsidP="003B2C79">
      <w:pPr>
        <w:tabs>
          <w:tab w:val="left" w:pos="1701"/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1418"/>
        <w:jc w:val="center"/>
        <w:rPr>
          <w:rFonts w:ascii="Arial" w:hAnsi="Arial"/>
          <w:szCs w:val="22"/>
        </w:rPr>
      </w:pPr>
      <w:r w:rsidRPr="003B2C79">
        <w:rPr>
          <w:rFonts w:ascii="Arial" w:hAnsi="Arial"/>
          <w:szCs w:val="22"/>
        </w:rPr>
        <w:t>Presidente do Conselho Nacional de Saúde</w:t>
      </w:r>
    </w:p>
    <w:p w:rsidR="00167345" w:rsidRDefault="00167345" w:rsidP="003B2C79">
      <w:pPr>
        <w:tabs>
          <w:tab w:val="left" w:pos="1701"/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1418"/>
        <w:jc w:val="center"/>
        <w:rPr>
          <w:rFonts w:ascii="Arial" w:hAnsi="Arial"/>
          <w:szCs w:val="22"/>
        </w:rPr>
      </w:pPr>
    </w:p>
    <w:p w:rsidR="00167345" w:rsidRPr="003B2C79" w:rsidRDefault="00167345" w:rsidP="003B2C79">
      <w:pPr>
        <w:tabs>
          <w:tab w:val="left" w:pos="1701"/>
          <w:tab w:val="left" w:pos="6156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1418"/>
        <w:jc w:val="center"/>
        <w:rPr>
          <w:rFonts w:ascii="Arial" w:hAnsi="Arial"/>
          <w:szCs w:val="22"/>
        </w:rPr>
      </w:pPr>
    </w:p>
    <w:sectPr w:rsidR="00167345" w:rsidRPr="003B2C79" w:rsidSect="003B2C79">
      <w:footerReference w:type="even" r:id="rId12"/>
      <w:footerReference w:type="default" r:id="rId13"/>
      <w:pgSz w:w="11906" w:h="16838"/>
      <w:pgMar w:top="1418" w:right="1134" w:bottom="1134" w:left="1701" w:header="709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54" w:rsidRDefault="00F83054">
      <w:pPr>
        <w:spacing w:after="0" w:line="240" w:lineRule="auto"/>
      </w:pPr>
      <w:r>
        <w:separator/>
      </w:r>
    </w:p>
  </w:endnote>
  <w:endnote w:type="continuationSeparator" w:id="0">
    <w:p w:rsidR="00F83054" w:rsidRDefault="00F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5" w:rsidRDefault="00F83054">
    <w:pPr>
      <w:pStyle w:val="Rodap1"/>
      <w:tabs>
        <w:tab w:val="clear" w:pos="8504"/>
        <w:tab w:val="right" w:pos="8478"/>
        <w:tab w:val="left" w:pos="8496"/>
      </w:tabs>
      <w:jc w:val="right"/>
    </w:pPr>
    <w:r>
      <w:fldChar w:fldCharType="begin"/>
    </w:r>
    <w:r>
      <w:instrText>PAGE</w:instrText>
    </w:r>
    <w:r>
      <w:fldChar w:fldCharType="separate"/>
    </w:r>
    <w:r w:rsidR="00BB2A5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5" w:rsidRDefault="00F83054">
    <w:pPr>
      <w:pStyle w:val="Rodap1"/>
      <w:tabs>
        <w:tab w:val="clear" w:pos="8504"/>
        <w:tab w:val="right" w:pos="8478"/>
        <w:tab w:val="left" w:pos="8496"/>
      </w:tabs>
      <w:jc w:val="right"/>
    </w:pPr>
    <w:r>
      <w:fldChar w:fldCharType="begin"/>
    </w:r>
    <w:r>
      <w:instrText>PAGE</w:instrText>
    </w:r>
    <w:r>
      <w:fldChar w:fldCharType="separate"/>
    </w:r>
    <w:r w:rsidR="00BB2A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54" w:rsidRDefault="00F83054">
      <w:r>
        <w:separator/>
      </w:r>
    </w:p>
  </w:footnote>
  <w:footnote w:type="continuationSeparator" w:id="0">
    <w:p w:rsidR="00F83054" w:rsidRDefault="00F83054">
      <w:r>
        <w:continuationSeparator/>
      </w:r>
    </w:p>
  </w:footnote>
  <w:footnote w:id="1">
    <w:p w:rsidR="00764075" w:rsidRDefault="00F83054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</w:t>
      </w:r>
      <w:r>
        <w:rPr>
          <w:rFonts w:ascii="Times New Roman" w:hAnsi="Times New Roman"/>
          <w:sz w:val="18"/>
          <w:szCs w:val="18"/>
        </w:rPr>
        <w:t>Valor da despesa</w:t>
      </w:r>
      <w:r>
        <w:rPr>
          <w:rFonts w:ascii="Times New Roman" w:hAnsi="Times New Roman"/>
          <w:sz w:val="18"/>
          <w:szCs w:val="18"/>
        </w:rPr>
        <w:t xml:space="preserve"> competência 2014 de R$ 113,7 </w:t>
      </w:r>
      <w:proofErr w:type="gramStart"/>
      <w:r>
        <w:rPr>
          <w:rFonts w:ascii="Times New Roman" w:hAnsi="Times New Roman"/>
          <w:sz w:val="18"/>
          <w:szCs w:val="18"/>
        </w:rPr>
        <w:t>bilhões corrigido pela variação do IPCA de 4,8% apresentada no Projeto de Lei Orçamentária de 2017</w:t>
      </w:r>
      <w:proofErr w:type="gramEnd"/>
      <w:r>
        <w:rPr>
          <w:rFonts w:ascii="Times New Roman" w:hAnsi="Times New Roman"/>
          <w:sz w:val="18"/>
          <w:szCs w:val="18"/>
        </w:rPr>
        <w:t xml:space="preserve"> (PLOA 2017).</w:t>
      </w:r>
    </w:p>
  </w:footnote>
  <w:footnote w:id="2">
    <w:p w:rsidR="00764075" w:rsidRDefault="00F83054">
      <w:pPr>
        <w:pStyle w:val="Textodenotaderodap"/>
        <w:jc w:val="both"/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Style w:val="Refdenotaderodap"/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Calculado conforme a regra fixada na PEC 241/2016: o valor de 2017 será obtido pelo valor mínimo de 2016 de R$ </w:t>
      </w:r>
      <w:r>
        <w:rPr>
          <w:rFonts w:ascii="Times New Roman" w:hAnsi="Times New Roman"/>
          <w:sz w:val="18"/>
          <w:szCs w:val="18"/>
        </w:rPr>
        <w:t>91,7 bilhões (13,2% da Receita Corrente Líquida de 2016 estimada em R$ 694,5 bilhões, conforme consta na apresentação do Ministério da Saúde em audiência pública de 29/08/2016 na Câmara dos Deputados), corrigido pela variação do IPCA de 2016 (estimada em 7</w:t>
      </w:r>
      <w:r>
        <w:rPr>
          <w:rFonts w:ascii="Times New Roman" w:hAnsi="Times New Roman"/>
          <w:sz w:val="18"/>
          <w:szCs w:val="18"/>
        </w:rPr>
        <w:t xml:space="preserve">,23% conforme Relatório Focus do Banco Central do Brasil de 30/09/2016). </w:t>
      </w:r>
    </w:p>
  </w:footnote>
  <w:footnote w:id="3">
    <w:p w:rsidR="00764075" w:rsidRDefault="00F83054">
      <w:pPr>
        <w:pStyle w:val="Textodenotaderodap"/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Style w:val="Refdenotaderodap"/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A Receita Corrente Líquida de 2017 foi estimada em R$ 758,3 bilhões no PLOA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280"/>
    <w:multiLevelType w:val="multilevel"/>
    <w:tmpl w:val="0A9C80FE"/>
    <w:lvl w:ilvl="0">
      <w:start w:val="1"/>
      <w:numFmt w:val="upperRoman"/>
      <w:lvlText w:val="%1."/>
      <w:lvlJc w:val="left"/>
      <w:pPr>
        <w:ind w:left="3600" w:hanging="72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FF549A2"/>
    <w:multiLevelType w:val="multilevel"/>
    <w:tmpl w:val="312CCD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CF1805"/>
    <w:multiLevelType w:val="multilevel"/>
    <w:tmpl w:val="707CE4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5"/>
    <w:rsid w:val="00167345"/>
    <w:rsid w:val="003B2C79"/>
    <w:rsid w:val="00764075"/>
    <w:rsid w:val="00BB2A50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140FBE"/>
    <w:pPr>
      <w:spacing w:after="160" w:line="259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qFormat/>
    <w:rsid w:val="00140FBE"/>
    <w:rPr>
      <w:color w:val="000000"/>
      <w:sz w:val="22"/>
      <w:vertAlign w:val="superscript"/>
    </w:rPr>
  </w:style>
  <w:style w:type="character" w:customStyle="1" w:styleId="CabealhoChar">
    <w:name w:val="Cabeçalho Char"/>
    <w:link w:val="Cabealho"/>
    <w:qFormat/>
    <w:rsid w:val="00F25CAB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customStyle="1" w:styleId="RodapChar">
    <w:name w:val="Rodapé Char"/>
    <w:link w:val="Rodap"/>
    <w:qFormat/>
    <w:rsid w:val="00F25CAB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customStyle="1" w:styleId="TextodebaloChar">
    <w:name w:val="Texto de balão Char"/>
    <w:basedOn w:val="Fontepargpadro"/>
    <w:link w:val="Textodebalo"/>
    <w:qFormat/>
    <w:rsid w:val="00BE728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FD0DA1"/>
    <w:rPr>
      <w:rFonts w:ascii="Lucida Grande" w:eastAsia="ヒラギノ角ゴ Pro W3" w:hAnsi="Lucida Grande"/>
      <w:color w:val="000000"/>
      <w:lang w:eastAsia="en-US"/>
    </w:rPr>
  </w:style>
  <w:style w:type="character" w:styleId="Refdenotaderodap">
    <w:name w:val="footnote reference"/>
    <w:basedOn w:val="Fontepargpadro"/>
    <w:semiHidden/>
    <w:unhideWhenUsed/>
    <w:qFormat/>
    <w:locked/>
    <w:rsid w:val="00FD0DA1"/>
    <w:rPr>
      <w:vertAlign w:val="superscript"/>
    </w:rPr>
  </w:style>
  <w:style w:type="character" w:customStyle="1" w:styleId="LinkdaInternet">
    <w:name w:val="Link da Internet"/>
    <w:basedOn w:val="Fontepargpadro"/>
    <w:unhideWhenUsed/>
    <w:locked/>
    <w:rsid w:val="00FD0DA1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locked/>
    <w:rsid w:val="00974D5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74D5E"/>
    <w:rPr>
      <w:rFonts w:ascii="Lucida Grande" w:eastAsia="ヒラギノ角ゴ Pro W3" w:hAnsi="Lucida Grande"/>
      <w:color w:val="00000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74D5E"/>
    <w:rPr>
      <w:rFonts w:ascii="Lucida Grande" w:eastAsia="ヒラギノ角ゴ Pro W3" w:hAnsi="Lucida Grande"/>
      <w:b/>
      <w:bCs/>
      <w:color w:val="000000"/>
      <w:lang w:eastAsia="en-US"/>
    </w:rPr>
  </w:style>
  <w:style w:type="character" w:customStyle="1" w:styleId="ListLabel1">
    <w:name w:val="ListLabel 1"/>
    <w:qFormat/>
    <w:rPr>
      <w:color w:val="000000"/>
      <w:sz w:val="22"/>
    </w:rPr>
  </w:style>
  <w:style w:type="character" w:customStyle="1" w:styleId="ListLabel2">
    <w:name w:val="ListLabel 2"/>
    <w:qFormat/>
    <w:rPr>
      <w:rFonts w:ascii="Arial" w:hAnsi="Arial"/>
      <w:b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Rodap1">
    <w:name w:val="Rodapé1"/>
    <w:qFormat/>
    <w:rsid w:val="00140FBE"/>
    <w:pPr>
      <w:tabs>
        <w:tab w:val="center" w:pos="4252"/>
        <w:tab w:val="right" w:pos="8504"/>
      </w:tabs>
    </w:pPr>
    <w:rPr>
      <w:rFonts w:ascii="Lucida Grande" w:eastAsia="ヒラギノ角ゴ Pro W3" w:hAnsi="Lucida Grande"/>
      <w:color w:val="000000"/>
      <w:sz w:val="22"/>
      <w:lang w:eastAsia="en-US"/>
    </w:rPr>
  </w:style>
  <w:style w:type="paragraph" w:customStyle="1" w:styleId="Textodenotaderodap1">
    <w:name w:val="Texto de nota de rodapé1"/>
    <w:qFormat/>
    <w:rsid w:val="00140FBE"/>
    <w:rPr>
      <w:rFonts w:ascii="Lucida Grande" w:eastAsia="ヒラギノ角ゴ Pro W3" w:hAnsi="Lucida Grande"/>
      <w:color w:val="000000"/>
      <w:sz w:val="22"/>
      <w:lang w:eastAsia="en-US"/>
    </w:rPr>
  </w:style>
  <w:style w:type="paragraph" w:customStyle="1" w:styleId="ListaColorida-nfase11">
    <w:name w:val="Lista Colorida - Ênfase 11"/>
    <w:qFormat/>
    <w:rsid w:val="00140FBE"/>
    <w:pPr>
      <w:spacing w:after="160" w:line="259" w:lineRule="auto"/>
      <w:ind w:left="720"/>
    </w:pPr>
    <w:rPr>
      <w:rFonts w:ascii="Lucida Grande" w:eastAsia="ヒラギノ角ゴ Pro W3" w:hAnsi="Lucida Grande"/>
      <w:color w:val="000000"/>
      <w:sz w:val="22"/>
      <w:lang w:eastAsia="en-US"/>
    </w:rPr>
  </w:style>
  <w:style w:type="paragraph" w:styleId="Cabealho">
    <w:name w:val="header"/>
    <w:basedOn w:val="Normal"/>
    <w:link w:val="CabealhoChar"/>
    <w:locked/>
    <w:rsid w:val="00F25C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locked/>
    <w:rsid w:val="00F25CA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locked/>
    <w:rsid w:val="00BE7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71"/>
    <w:semiHidden/>
    <w:qFormat/>
    <w:rsid w:val="008165FE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qFormat/>
    <w:locked/>
    <w:rsid w:val="00FD0DA1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72"/>
    <w:qFormat/>
    <w:rsid w:val="00974D5E"/>
    <w:pPr>
      <w:ind w:left="720"/>
      <w:contextualSpacing/>
    </w:pPr>
  </w:style>
  <w:style w:type="paragraph" w:styleId="Textodecomentrio">
    <w:name w:val="annotation text"/>
    <w:basedOn w:val="Normal"/>
    <w:link w:val="TextodecomentrioChar"/>
    <w:semiHidden/>
    <w:unhideWhenUsed/>
    <w:qFormat/>
    <w:locked/>
    <w:rsid w:val="00974D5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locked/>
    <w:rsid w:val="00974D5E"/>
    <w:rPr>
      <w:b/>
      <w:bCs/>
    </w:rPr>
  </w:style>
  <w:style w:type="paragraph" w:customStyle="1" w:styleId="Notaderodap">
    <w:name w:val="Nota de rodapé"/>
    <w:basedOn w:val="Normal"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140FBE"/>
    <w:pPr>
      <w:spacing w:after="160" w:line="259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qFormat/>
    <w:rsid w:val="00140FBE"/>
    <w:rPr>
      <w:color w:val="000000"/>
      <w:sz w:val="22"/>
      <w:vertAlign w:val="superscript"/>
    </w:rPr>
  </w:style>
  <w:style w:type="character" w:customStyle="1" w:styleId="CabealhoChar">
    <w:name w:val="Cabeçalho Char"/>
    <w:link w:val="Cabealho"/>
    <w:qFormat/>
    <w:rsid w:val="00F25CAB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customStyle="1" w:styleId="RodapChar">
    <w:name w:val="Rodapé Char"/>
    <w:link w:val="Rodap"/>
    <w:qFormat/>
    <w:rsid w:val="00F25CAB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customStyle="1" w:styleId="TextodebaloChar">
    <w:name w:val="Texto de balão Char"/>
    <w:basedOn w:val="Fontepargpadro"/>
    <w:link w:val="Textodebalo"/>
    <w:qFormat/>
    <w:rsid w:val="00BE728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FD0DA1"/>
    <w:rPr>
      <w:rFonts w:ascii="Lucida Grande" w:eastAsia="ヒラギノ角ゴ Pro W3" w:hAnsi="Lucida Grande"/>
      <w:color w:val="000000"/>
      <w:lang w:eastAsia="en-US"/>
    </w:rPr>
  </w:style>
  <w:style w:type="character" w:styleId="Refdenotaderodap">
    <w:name w:val="footnote reference"/>
    <w:basedOn w:val="Fontepargpadro"/>
    <w:semiHidden/>
    <w:unhideWhenUsed/>
    <w:qFormat/>
    <w:locked/>
    <w:rsid w:val="00FD0DA1"/>
    <w:rPr>
      <w:vertAlign w:val="superscript"/>
    </w:rPr>
  </w:style>
  <w:style w:type="character" w:customStyle="1" w:styleId="LinkdaInternet">
    <w:name w:val="Link da Internet"/>
    <w:basedOn w:val="Fontepargpadro"/>
    <w:unhideWhenUsed/>
    <w:locked/>
    <w:rsid w:val="00FD0DA1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locked/>
    <w:rsid w:val="00974D5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74D5E"/>
    <w:rPr>
      <w:rFonts w:ascii="Lucida Grande" w:eastAsia="ヒラギノ角ゴ Pro W3" w:hAnsi="Lucida Grande"/>
      <w:color w:val="00000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74D5E"/>
    <w:rPr>
      <w:rFonts w:ascii="Lucida Grande" w:eastAsia="ヒラギノ角ゴ Pro W3" w:hAnsi="Lucida Grande"/>
      <w:b/>
      <w:bCs/>
      <w:color w:val="000000"/>
      <w:lang w:eastAsia="en-US"/>
    </w:rPr>
  </w:style>
  <w:style w:type="character" w:customStyle="1" w:styleId="ListLabel1">
    <w:name w:val="ListLabel 1"/>
    <w:qFormat/>
    <w:rPr>
      <w:color w:val="000000"/>
      <w:sz w:val="22"/>
    </w:rPr>
  </w:style>
  <w:style w:type="character" w:customStyle="1" w:styleId="ListLabel2">
    <w:name w:val="ListLabel 2"/>
    <w:qFormat/>
    <w:rPr>
      <w:rFonts w:ascii="Arial" w:hAnsi="Arial"/>
      <w:b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Rodap1">
    <w:name w:val="Rodapé1"/>
    <w:qFormat/>
    <w:rsid w:val="00140FBE"/>
    <w:pPr>
      <w:tabs>
        <w:tab w:val="center" w:pos="4252"/>
        <w:tab w:val="right" w:pos="8504"/>
      </w:tabs>
    </w:pPr>
    <w:rPr>
      <w:rFonts w:ascii="Lucida Grande" w:eastAsia="ヒラギノ角ゴ Pro W3" w:hAnsi="Lucida Grande"/>
      <w:color w:val="000000"/>
      <w:sz w:val="22"/>
      <w:lang w:eastAsia="en-US"/>
    </w:rPr>
  </w:style>
  <w:style w:type="paragraph" w:customStyle="1" w:styleId="Textodenotaderodap1">
    <w:name w:val="Texto de nota de rodapé1"/>
    <w:qFormat/>
    <w:rsid w:val="00140FBE"/>
    <w:rPr>
      <w:rFonts w:ascii="Lucida Grande" w:eastAsia="ヒラギノ角ゴ Pro W3" w:hAnsi="Lucida Grande"/>
      <w:color w:val="000000"/>
      <w:sz w:val="22"/>
      <w:lang w:eastAsia="en-US"/>
    </w:rPr>
  </w:style>
  <w:style w:type="paragraph" w:customStyle="1" w:styleId="ListaColorida-nfase11">
    <w:name w:val="Lista Colorida - Ênfase 11"/>
    <w:qFormat/>
    <w:rsid w:val="00140FBE"/>
    <w:pPr>
      <w:spacing w:after="160" w:line="259" w:lineRule="auto"/>
      <w:ind w:left="720"/>
    </w:pPr>
    <w:rPr>
      <w:rFonts w:ascii="Lucida Grande" w:eastAsia="ヒラギノ角ゴ Pro W3" w:hAnsi="Lucida Grande"/>
      <w:color w:val="000000"/>
      <w:sz w:val="22"/>
      <w:lang w:eastAsia="en-US"/>
    </w:rPr>
  </w:style>
  <w:style w:type="paragraph" w:styleId="Cabealho">
    <w:name w:val="header"/>
    <w:basedOn w:val="Normal"/>
    <w:link w:val="CabealhoChar"/>
    <w:locked/>
    <w:rsid w:val="00F25C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locked/>
    <w:rsid w:val="00F25CA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locked/>
    <w:rsid w:val="00BE7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71"/>
    <w:semiHidden/>
    <w:qFormat/>
    <w:rsid w:val="008165FE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qFormat/>
    <w:locked/>
    <w:rsid w:val="00FD0DA1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72"/>
    <w:qFormat/>
    <w:rsid w:val="00974D5E"/>
    <w:pPr>
      <w:ind w:left="720"/>
      <w:contextualSpacing/>
    </w:pPr>
  </w:style>
  <w:style w:type="paragraph" w:styleId="Textodecomentrio">
    <w:name w:val="annotation text"/>
    <w:basedOn w:val="Normal"/>
    <w:link w:val="TextodecomentrioChar"/>
    <w:semiHidden/>
    <w:unhideWhenUsed/>
    <w:qFormat/>
    <w:locked/>
    <w:rsid w:val="00974D5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locked/>
    <w:rsid w:val="00974D5E"/>
    <w:rPr>
      <w:b/>
      <w:bCs/>
    </w:rPr>
  </w:style>
  <w:style w:type="paragraph" w:customStyle="1" w:styleId="Notaderodap">
    <w:name w:val="Nota de rodapé"/>
    <w:basedOn w:val="Normal"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enciabrasil.ebc.com.br/economia/noticia/2016-10/meirelles-diz-que-pontos-fundamentais-da-pec-dos-gastos-serao-mantido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FD8A-D8E9-4249-AA12-417ABE93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1913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Funcia</dc:creator>
  <cp:lastModifiedBy>Rosa Amelia Pereira Dias</cp:lastModifiedBy>
  <cp:revision>3</cp:revision>
  <cp:lastPrinted>2016-10-04T12:37:00Z</cp:lastPrinted>
  <dcterms:created xsi:type="dcterms:W3CDTF">2016-10-04T12:36:00Z</dcterms:created>
  <dcterms:modified xsi:type="dcterms:W3CDTF">2016-10-04T12:39:00Z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